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TOOL 16 AI COMPANION</w:t>
      </w:r>
    </w:p>
    <w:p>
      <w:pPr>
        <w:pStyle w:val="Title"/>
      </w:pPr>
      <w:r>
        <w:t>VA Correspondence &amp; Activity Log - AI Guidance</w:t>
      </w:r>
    </w:p>
    <w:p>
      <w:r>
        <w:t>Version 1.0 - Synchronized with Tool 20 Master AI Companion Guide v1.0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EAF2F8"/>
          </w:tcPr>
          <w:p>
            <w:r>
              <w:t>THIS TOOL HAS AN INTENTIONAL AI BOUNDARY.</w:t>
            </w:r>
          </w:p>
        </w:tc>
      </w:tr>
    </w:tbl>
    <w:p>
      <w:pPr>
        <w:pStyle w:val="Heading1"/>
      </w:pPr>
      <w:r>
        <w:t>AI Role</w:t>
      </w:r>
    </w:p>
    <w:p>
      <w:r>
        <w:t>AI may organize actual claim-related activity supplied by the user or contained in actual correspondence. It must not manufacture historical activity, predict future events, or rewrite earlier entries after later information arrives.</w:t>
      </w:r>
    </w:p>
    <w:p>
      <w:pPr>
        <w:pStyle w:val="Heading1"/>
      </w:pPr>
      <w:r>
        <w:t>Universal Safeguard</w:t>
      </w:r>
    </w:p>
    <w:p>
      <w:r>
        <w:t>Do not fill a tool merely because it has empty spaces. Use real source information, firsthand input, or actual events when the tool calls for them. Any AI-assisted factual output must be verified with the latest Tool 21 before it returns to the working toolkit.</w:t>
      </w:r>
    </w:p>
    <w:sectPr w:rsidR="00FC693F" w:rsidRPr="0006063C" w:rsidSect="00034616">
      <w:pgSz w:w="12240" w:h="15840"/>
      <w:pgMar w:top="1008" w:right="1080" w:bottom="1008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3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